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附件1  </w:t>
      </w:r>
    </w:p>
    <w:p>
      <w:pPr>
        <w:pStyle w:val="3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泸县土地统征和储备中心</w:t>
      </w:r>
    </w:p>
    <w:p>
      <w:pPr>
        <w:pStyle w:val="3"/>
        <w:bidi w:val="0"/>
        <w:jc w:val="center"/>
        <w:rPr>
          <w:rFonts w:hint="eastAsia"/>
          <w:sz w:val="32"/>
          <w:szCs w:val="32"/>
        </w:rPr>
      </w:pPr>
      <w:bookmarkStart w:id="0" w:name="_Toc10136"/>
      <w:bookmarkStart w:id="1" w:name="_Toc7337"/>
      <w:bookmarkStart w:id="2" w:name="_Toc26655"/>
      <w:bookmarkStart w:id="3" w:name="_Toc15829"/>
      <w:bookmarkStart w:id="4" w:name="_Toc31327"/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年部门整体支出绩效评价报告</w:t>
      </w:r>
      <w:bookmarkEnd w:id="0"/>
      <w:bookmarkEnd w:id="1"/>
      <w:bookmarkEnd w:id="2"/>
      <w:bookmarkEnd w:id="3"/>
      <w:bookmarkEnd w:id="4"/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部门（单位）概况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（一）机构组成。</w:t>
      </w:r>
      <w:r>
        <w:rPr>
          <w:rFonts w:hint="eastAsia" w:ascii="宋体" w:hAnsi="宋体" w:eastAsia="宋体" w:cs="宋体"/>
          <w:kern w:val="0"/>
          <w:sz w:val="30"/>
          <w:szCs w:val="30"/>
        </w:rPr>
        <w:t>泸县土地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统征和</w:t>
      </w:r>
      <w:r>
        <w:rPr>
          <w:rFonts w:hint="eastAsia" w:ascii="宋体" w:hAnsi="宋体" w:eastAsia="宋体" w:cs="宋体"/>
          <w:kern w:val="0"/>
          <w:sz w:val="30"/>
          <w:szCs w:val="30"/>
        </w:rPr>
        <w:t>储备中心成立于2003年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，属县自然资源和规划局代管的一级预算单位，其下没有二级预算单位。</w:t>
      </w:r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（二）机构职能。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(1)</w:t>
      </w:r>
      <w:r>
        <w:rPr>
          <w:rFonts w:hint="eastAsia" w:ascii="宋体" w:hAnsi="宋体" w:eastAsia="宋体" w:cs="宋体"/>
          <w:kern w:val="0"/>
          <w:sz w:val="30"/>
          <w:szCs w:val="30"/>
        </w:rPr>
        <w:t>、根据产业结构调整、城镇建设规划和土地利用实际状况，制定土地收购、储备计划和供应计划，报县政府批准后具体负责实施。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(2)</w:t>
      </w:r>
      <w:r>
        <w:rPr>
          <w:rFonts w:hint="eastAsia" w:ascii="宋体" w:hAnsi="宋体" w:eastAsia="宋体" w:cs="宋体"/>
          <w:kern w:val="0"/>
          <w:sz w:val="30"/>
          <w:szCs w:val="30"/>
        </w:rPr>
        <w:t>、建立土地储备库，规范土地市场。对城镇建设用地范围内的集体土地实行统一征用、提出征用计划，负责办理征用土地和农用地转用的具体事务。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(3)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、负</w:t>
      </w:r>
      <w:r>
        <w:rPr>
          <w:rFonts w:hint="eastAsia" w:ascii="宋体" w:hAnsi="宋体" w:eastAsia="宋体" w:cs="宋体"/>
          <w:kern w:val="0"/>
          <w:sz w:val="30"/>
          <w:szCs w:val="30"/>
        </w:rPr>
        <w:t>责对储备土地进行登记、造册、编号，建立土地储备数据库。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(4)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负责对收回征购的土地进行开发、整理。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(5)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承担县城建设的部分任务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。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(6)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完成县政府交办的其他工作。</w:t>
      </w:r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（三）人员概况。</w:t>
      </w:r>
    </w:p>
    <w:p>
      <w:pPr>
        <w:pStyle w:val="2"/>
        <w:ind w:firstLine="600" w:firstLineChars="200"/>
        <w:rPr>
          <w:rFonts w:hint="eastAsia" w:ascii="宋体" w:hAnsi="宋体" w:eastAsia="宋体" w:cs="宋体"/>
          <w:sz w:val="30"/>
          <w:szCs w:val="30"/>
          <w:lang w:val="zh-CN"/>
        </w:rPr>
      </w:pPr>
      <w:bookmarkStart w:id="5" w:name="_GoBack"/>
      <w:bookmarkEnd w:id="5"/>
      <w:r>
        <w:rPr>
          <w:rFonts w:hint="eastAsia" w:ascii="宋体" w:hAnsi="宋体" w:eastAsia="宋体" w:cs="宋体"/>
          <w:kern w:val="0"/>
          <w:sz w:val="30"/>
          <w:szCs w:val="30"/>
        </w:rPr>
        <w:t>泸县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土地统征和储备中心</w:t>
      </w:r>
      <w:r>
        <w:rPr>
          <w:rFonts w:hint="eastAsia" w:ascii="宋体" w:hAnsi="宋体" w:eastAsia="宋体" w:cs="宋体"/>
          <w:kern w:val="0"/>
          <w:sz w:val="30"/>
          <w:szCs w:val="30"/>
        </w:rPr>
        <w:t>核定总编制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30"/>
          <w:szCs w:val="30"/>
        </w:rPr>
        <w:t>名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</w:rPr>
        <w:t>在职人员总数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30"/>
          <w:szCs w:val="30"/>
        </w:rPr>
        <w:t>人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30"/>
          <w:szCs w:val="30"/>
        </w:rPr>
        <w:t>长期聘用人员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30"/>
          <w:szCs w:val="30"/>
        </w:rPr>
        <w:t>人。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由县自然资源和规划局局长兼任主任，设副主任一名。内设综合财务股，安置股，征地拆迁股。</w:t>
      </w:r>
    </w:p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二、部门财政资金收支情况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（一）部门财政资金收入情况。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  <w:lang w:val="zh-CN"/>
        </w:rPr>
        <w:t>（</w:t>
      </w:r>
      <w:r>
        <w:rPr>
          <w:rStyle w:val="15"/>
          <w:rFonts w:hint="eastAsia" w:ascii="宋体" w:hAnsi="宋体" w:eastAsia="宋体" w:cs="宋体"/>
          <w:sz w:val="30"/>
          <w:szCs w:val="30"/>
          <w:lang w:val="zh-CN" w:bidi="ar"/>
        </w:rPr>
        <w:t>见</w:t>
      </w:r>
      <w:r>
        <w:rPr>
          <w:rStyle w:val="15"/>
          <w:rFonts w:hint="eastAsia" w:ascii="宋体" w:hAnsi="宋体" w:eastAsia="宋体" w:cs="宋体"/>
          <w:sz w:val="30"/>
          <w:szCs w:val="30"/>
          <w:lang w:bidi="ar"/>
        </w:rPr>
        <w:t>20</w:t>
      </w:r>
      <w:r>
        <w:rPr>
          <w:rStyle w:val="15"/>
          <w:rFonts w:hint="eastAsia" w:ascii="宋体" w:hAnsi="宋体" w:eastAsia="宋体" w:cs="宋体"/>
          <w:sz w:val="30"/>
          <w:szCs w:val="30"/>
          <w:lang w:val="en-US" w:eastAsia="zh-CN" w:bidi="ar"/>
        </w:rPr>
        <w:t>20</w:t>
      </w:r>
      <w:r>
        <w:rPr>
          <w:rStyle w:val="15"/>
          <w:rFonts w:hint="eastAsia" w:ascii="宋体" w:hAnsi="宋体" w:eastAsia="宋体" w:cs="宋体"/>
          <w:sz w:val="30"/>
          <w:szCs w:val="30"/>
          <w:lang w:bidi="ar"/>
        </w:rPr>
        <w:t>年财政资金收入表）</w:t>
      </w:r>
    </w:p>
    <w:tbl>
      <w:tblPr>
        <w:tblStyle w:val="5"/>
        <w:tblW w:w="7578" w:type="dxa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4437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eastAsia="宋体" w:cs="宋体"/>
                <w:sz w:val="30"/>
                <w:szCs w:val="30"/>
                <w:lang w:bidi="ar"/>
              </w:rPr>
              <w:t>年财政资金收入表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编制单位：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泸县土地统征和储备中心（本级）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本年收入（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支出功能分类科目编码</w:t>
            </w:r>
          </w:p>
        </w:tc>
        <w:tc>
          <w:tcPr>
            <w:tcW w:w="4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科目名称</w:t>
            </w: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4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4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pPr w:leftFromText="180" w:rightFromText="180" w:vertAnchor="text" w:horzAnchor="page" w:tblpX="4584" w:tblpY="-17"/>
              <w:tblOverlap w:val="never"/>
              <w:tblW w:w="192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30"/>
                      <w:szCs w:val="3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 xml:space="preserve">79028.25 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2080505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18.39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2101102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2120801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征地和拆迁补偿支出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16760.70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2120805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补助被征地农民支出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5160.00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2121001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征地和拆迁补偿支出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4369.64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2200150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179.61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2200199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其他自然资源事务支出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2210201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2290402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其他地方自行试点项目收益专项债券收入安排的支出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52484.00 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</w:p>
    <w:p>
      <w:pPr>
        <w:pStyle w:val="2"/>
        <w:rPr>
          <w:rFonts w:hint="eastAsia"/>
          <w:sz w:val="30"/>
          <w:szCs w:val="30"/>
          <w:lang w:val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（二）部门财政资金支出情况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shd w:val="clear" w:color="auto" w:fill="FFFFFF"/>
          <w:lang w:val="zh-CN"/>
        </w:rPr>
        <w:t>（</w:t>
      </w:r>
      <w:r>
        <w:rPr>
          <w:rStyle w:val="15"/>
          <w:rFonts w:hint="eastAsia" w:ascii="宋体" w:hAnsi="宋体" w:eastAsia="宋体" w:cs="宋体"/>
          <w:sz w:val="30"/>
          <w:szCs w:val="30"/>
          <w:lang w:val="zh-CN" w:bidi="ar"/>
        </w:rPr>
        <w:t>见</w:t>
      </w:r>
      <w:r>
        <w:rPr>
          <w:rStyle w:val="15"/>
          <w:rFonts w:hint="eastAsia" w:ascii="宋体" w:hAnsi="宋体" w:eastAsia="宋体" w:cs="宋体"/>
          <w:sz w:val="30"/>
          <w:szCs w:val="30"/>
          <w:lang w:bidi="ar"/>
        </w:rPr>
        <w:t>20</w:t>
      </w:r>
      <w:r>
        <w:rPr>
          <w:rStyle w:val="15"/>
          <w:rFonts w:hint="eastAsia" w:ascii="宋体" w:hAnsi="宋体" w:eastAsia="宋体" w:cs="宋体"/>
          <w:sz w:val="30"/>
          <w:szCs w:val="30"/>
          <w:lang w:val="en-US" w:eastAsia="zh-CN" w:bidi="ar"/>
        </w:rPr>
        <w:t>20</w:t>
      </w:r>
      <w:r>
        <w:rPr>
          <w:rStyle w:val="15"/>
          <w:rFonts w:hint="eastAsia" w:ascii="宋体" w:hAnsi="宋体" w:eastAsia="宋体" w:cs="宋体"/>
          <w:sz w:val="30"/>
          <w:szCs w:val="30"/>
          <w:lang w:bidi="ar"/>
        </w:rPr>
        <w:t>年财政资金支出表）</w:t>
      </w:r>
    </w:p>
    <w:tbl>
      <w:tblPr>
        <w:tblStyle w:val="5"/>
        <w:tblW w:w="21960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300"/>
        <w:gridCol w:w="1290"/>
        <w:gridCol w:w="1275"/>
        <w:gridCol w:w="195"/>
        <w:gridCol w:w="1125"/>
        <w:gridCol w:w="6195"/>
        <w:gridCol w:w="7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年财政资金支出表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编制单位：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泸县土地统征和储备中心（本级）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270" w:hRule="atLeast"/>
        </w:trPr>
        <w:tc>
          <w:tcPr>
            <w:tcW w:w="4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支出合计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（万元）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基本支出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（万元）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项目支出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850" w:hRule="exact"/>
        </w:trPr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支出功能分类科目编码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科目名称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850" w:hRule="exac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80539.03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332.89 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80206.14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2080505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18.39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18.39 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2101102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10.32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10.32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2120801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征地和拆迁补偿支出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16760.70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16760.70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2120805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补助被征地农民支出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5160.00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5160.00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2121001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征地和拆迁补偿支出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4369.64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4369.64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2121501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征地和拆迁补偿支出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2200150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290.39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290.39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2200199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其他自然资源事务支出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567" w:hRule="exac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2210201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13.79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13.79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515" w:type="dxa"/>
          <w:trHeight w:val="27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2290402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其他地方自行试点项目收益专项债券收入安排的支出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52484.00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52484.00 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60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</w:p>
    <w:p>
      <w:pPr>
        <w:widowControl/>
        <w:adjustRightInd w:val="0"/>
        <w:snapToGrid w:val="0"/>
        <w:spacing w:line="580" w:lineRule="exact"/>
        <w:ind w:left="0" w:leftChars="0" w:firstLine="639" w:firstLineChars="213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left="0" w:leftChars="0" w:firstLine="639" w:firstLineChars="213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（一）部门预算管理。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我单位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严格按照《预算法》、《中华人民共和国预算法实施条例》及《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泸县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年县本级部门预算编制方法和口径》等法律、法规编制预算。基本支出预算包括人员经费和日常公用经费两部分，采取人员经费按标准、公用经费按定额编制的方法，结合我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实际和工作计划，认真开展我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的预算编制工作，人员经费预算按照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县自然资源和规划局人教股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审核过的工资进行编制，切实做到数据完整和准确无误。对项目资金的预算，提出具体的项目、目标和实施计划，细化项目支出内容，精准编制项目支出绩效申报表，提供准确的项目支撑依据，切实做到项目资金编制的合理化、人性化，并在规定的时限内完整、准确的报送到县级财政部门，为全县预算编制工作的按时完成打下基础。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在收到财政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局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下达的各类指标后，按照资金的用途，在把好审核关的基础上，按时按量按照资金预算进度及时拨付各项款项。人员经费、日常公用及项目资金全部是按要求和规定给予支付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/>
        </w:rPr>
        <w:t>结果应用情况。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通过对本单位职能的梳理，结合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本单位实际情况、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全年工作计划、工作任务，以定量和定性相结合的方式，确定了本部门整体支出绩效目标，确保了绩效目标编制质量，及时将绩效评价中发现的问题进行了整改和反馈，较好的完成了本部门整体支出绩效评价工作。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四、评价结论及建议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（一）评价结论</w:t>
      </w:r>
    </w:p>
    <w:p>
      <w:pPr>
        <w:pStyle w:val="2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我单位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及时、准确地完成预算编制；预算支出管理规范，未出现因违规支出受到相关监督部门批评或处理的情况；资金管理制度较为完善，会计核算和账务处理规范，会计资料完整。2020年我单位整体支出绩效评价自查自评结果良好，全年基本支出保证了部门的正常运行和日常工作的正常开展，达到了预期绩效目标。</w:t>
      </w:r>
    </w:p>
    <w:p>
      <w:pPr>
        <w:pStyle w:val="2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2020年度部门整体支出绩效目标自评表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665"/>
        <w:gridCol w:w="1665"/>
        <w:gridCol w:w="16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一级指标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二级指标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三级指标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指标分值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预算部门管理（30分）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预算编制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目标制定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目标完成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编制准确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预算执行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支出控制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动态调整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执行进度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完成结果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预算完成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违规记录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绩效结果应用（20分）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自评质量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自评准确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信息公开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目标公开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自评公开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整改反馈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结果反馈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应用反馈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660" w:type="dxa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66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93</w:t>
            </w:r>
          </w:p>
        </w:tc>
      </w:tr>
    </w:tbl>
    <w:p>
      <w:pPr>
        <w:adjustRightInd w:val="0"/>
        <w:snapToGrid w:val="0"/>
        <w:spacing w:line="560" w:lineRule="exact"/>
        <w:ind w:left="0" w:leftChars="0" w:firstLine="639" w:firstLineChars="213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（二）存在问题。</w:t>
      </w:r>
    </w:p>
    <w:p>
      <w:pPr>
        <w:adjustRightInd w:val="0"/>
        <w:snapToGrid w:val="0"/>
        <w:spacing w:line="560" w:lineRule="exact"/>
        <w:ind w:left="0" w:leftChars="0" w:firstLine="639" w:firstLineChars="21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1.支出管理项目还有待进一步细化和量化，强化经费预算管理的刚性约束，项目支出按预算和工作进度执行，进一步规范各项支出。</w:t>
      </w:r>
    </w:p>
    <w:p>
      <w:pPr>
        <w:adjustRightInd w:val="0"/>
        <w:snapToGrid w:val="0"/>
        <w:spacing w:line="560" w:lineRule="exact"/>
        <w:ind w:left="0" w:leftChars="0" w:firstLine="639" w:firstLineChars="21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2.绩效目标和指标往往根据项目实际完成情况制定，对项目执行过程有效约束不够，存在一定的偏差。</w:t>
      </w:r>
    </w:p>
    <w:p>
      <w:pPr>
        <w:widowControl/>
        <w:adjustRightInd w:val="0"/>
        <w:snapToGrid w:val="0"/>
        <w:spacing w:line="580" w:lineRule="exact"/>
        <w:ind w:left="0" w:leftChars="0" w:firstLine="639" w:firstLineChars="213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sz w:val="30"/>
          <w:szCs w:val="30"/>
        </w:rPr>
        <w:t>3.财务工作水平有待提高。财务工作在精度和深度上欠缺，还需要进一步深入学习，提高财务工作水平。</w:t>
      </w:r>
    </w:p>
    <w:p>
      <w:pPr>
        <w:widowControl/>
        <w:adjustRightInd w:val="0"/>
        <w:snapToGrid w:val="0"/>
        <w:spacing w:line="580" w:lineRule="exact"/>
        <w:ind w:left="0" w:leftChars="0" w:firstLine="639" w:firstLineChars="213"/>
        <w:contextualSpacing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zh-CN"/>
        </w:rPr>
        <w:t>（三）改进建议。</w:t>
      </w:r>
    </w:p>
    <w:p>
      <w:pPr>
        <w:adjustRightInd w:val="0"/>
        <w:snapToGrid w:val="0"/>
        <w:spacing w:line="560" w:lineRule="exact"/>
        <w:ind w:left="0" w:leftChars="0" w:firstLine="639" w:firstLineChars="213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1、提高部门预算财政资金使用效益，加强绩效评价管理制度和流程的建设，进一步深化、完善绩效管理体系，建立全过程的预算绩效管理机制，促进绩效管理工作向广度和深度延伸。</w:t>
      </w:r>
    </w:p>
    <w:p>
      <w:pPr>
        <w:adjustRightInd w:val="0"/>
        <w:snapToGrid w:val="0"/>
        <w:spacing w:line="560" w:lineRule="exact"/>
        <w:ind w:left="0" w:leftChars="0" w:firstLine="639" w:firstLineChars="213"/>
        <w:rPr>
          <w:rFonts w:hint="eastAsia" w:ascii="宋体" w:hAnsi="宋体" w:eastAsia="宋体" w:cs="宋体"/>
          <w:sz w:val="30"/>
          <w:szCs w:val="30"/>
          <w:lang w:val="zh-CN"/>
        </w:rPr>
      </w:pPr>
      <w:r>
        <w:rPr>
          <w:rFonts w:hint="eastAsia" w:ascii="宋体" w:hAnsi="宋体" w:eastAsia="宋体" w:cs="宋体"/>
          <w:sz w:val="30"/>
          <w:szCs w:val="30"/>
        </w:rPr>
        <w:t>2、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严格按照批复预算执行，加强预算绩效管理，增强预算约束力，做好预算项目支出绩效目标及各项绩效指标的细化、量化工作,用好用活各类财政资金，提高财政资金的使用效益。</w:t>
      </w:r>
    </w:p>
    <w:p>
      <w:pPr>
        <w:ind w:left="0" w:leftChars="0" w:firstLine="639" w:firstLineChars="213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_x0004_fal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60EB"/>
    <w:rsid w:val="19587963"/>
    <w:rsid w:val="1FB42C64"/>
    <w:rsid w:val="21C760EB"/>
    <w:rsid w:val="45FA122A"/>
    <w:rsid w:val="502428BA"/>
    <w:rsid w:val="520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宋体_x0004_fal"/>
      <w:kern w:val="0"/>
      <w:sz w:val="24"/>
      <w:szCs w:val="24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A4A4A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uiPriority w:val="0"/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4A4A4A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customStyle="1" w:styleId="15">
    <w:name w:val="font6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hover17"/>
    <w:basedOn w:val="6"/>
    <w:uiPriority w:val="0"/>
    <w:rPr>
      <w:color w:val="146AC1"/>
      <w:u w:val="none"/>
    </w:rPr>
  </w:style>
  <w:style w:type="character" w:customStyle="1" w:styleId="17">
    <w:name w:val="first-child"/>
    <w:basedOn w:val="6"/>
    <w:uiPriority w:val="0"/>
  </w:style>
  <w:style w:type="character" w:customStyle="1" w:styleId="18">
    <w:name w:val="layui-this"/>
    <w:basedOn w:val="6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2021-11-17T09:13:00Z</dcterms:created>
  <dc:creator>Administrator</dc:creator>
  <cp:lastModifiedBy>Administrator</cp:lastModifiedBy>
  <cp:lastPrinted>2021-11-18T09:51:00Z</cp:lastPrinted>
  <dcterms:modified xsi:type="dcterms:W3CDTF">2021-11-24T02:35:12Z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0DE5092E4D5F406085FB3C3847D51B0F</vt:lpwstr>
  </property>
</Properties>
</file>